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firstLineChars="200"/>
        <w:jc w:val="center"/>
        <w:rPr>
          <w:rFonts w:cs="Arial"/>
          <w:color w:val="000000"/>
          <w:sz w:val="24"/>
        </w:rPr>
      </w:pPr>
      <w:bookmarkStart w:id="0" w:name="_GoBack"/>
      <w:r>
        <w:rPr>
          <w:rFonts w:hint="eastAsia" w:cs="Arial"/>
          <w:color w:val="000000"/>
          <w:sz w:val="24"/>
        </w:rPr>
        <w:t>教学操作模型</w:t>
      </w:r>
      <w:r>
        <w:rPr>
          <w:rFonts w:hint="eastAsia" w:cs="Arial"/>
          <w:color w:val="000000"/>
          <w:sz w:val="24"/>
          <w:lang w:val="en-US" w:eastAsia="zh-CN"/>
        </w:rPr>
        <w:t>第二批</w:t>
      </w:r>
      <w:r>
        <w:rPr>
          <w:rFonts w:hint="eastAsia" w:cs="Arial"/>
          <w:color w:val="000000"/>
          <w:sz w:val="24"/>
        </w:rPr>
        <w:t>项目</w:t>
      </w:r>
      <w:bookmarkEnd w:id="0"/>
      <w:r>
        <w:rPr>
          <w:rFonts w:hint="eastAsia" w:cs="Arial"/>
          <w:color w:val="000000"/>
          <w:sz w:val="24"/>
        </w:rPr>
        <w:t>竞价谈判公告</w:t>
      </w:r>
    </w:p>
    <w:p>
      <w:pPr>
        <w:spacing w:line="360" w:lineRule="auto"/>
        <w:ind w:firstLine="480" w:firstLineChars="200"/>
        <w:rPr>
          <w:rFonts w:cs="Arial"/>
          <w:color w:val="000000"/>
          <w:sz w:val="24"/>
        </w:rPr>
      </w:pPr>
      <w:r>
        <w:rPr>
          <w:rFonts w:hint="eastAsia" w:cs="Arial"/>
          <w:color w:val="000000"/>
          <w:sz w:val="24"/>
        </w:rPr>
        <w:t>根据国家相关法律法规的规定和《皖医二附院采购管理办法》，依照公开、公平、公正的原则，现对教学操作模型</w:t>
      </w:r>
      <w:r>
        <w:rPr>
          <w:rFonts w:hint="eastAsia" w:cs="Arial"/>
          <w:color w:val="000000"/>
          <w:sz w:val="24"/>
          <w:lang w:val="en-US" w:eastAsia="zh-CN"/>
        </w:rPr>
        <w:t>第二批</w:t>
      </w:r>
      <w:r>
        <w:rPr>
          <w:rFonts w:hint="eastAsia" w:cs="Arial"/>
          <w:color w:val="000000"/>
          <w:sz w:val="24"/>
        </w:rPr>
        <w:t>项目拟采取竞价谈判的方式进行采购，欢迎符合条件的供应商报名参加投标。</w:t>
      </w:r>
    </w:p>
    <w:p>
      <w:pPr>
        <w:spacing w:line="360" w:lineRule="auto"/>
        <w:rPr>
          <w:rFonts w:cs="Arial"/>
          <w:color w:val="000000"/>
          <w:sz w:val="24"/>
        </w:rPr>
      </w:pPr>
      <w:r>
        <w:rPr>
          <w:rFonts w:hint="eastAsia" w:cs="Arial"/>
          <w:color w:val="000000"/>
          <w:sz w:val="24"/>
        </w:rPr>
        <w:t>一、谈判编号：2021-</w:t>
      </w:r>
      <w:r>
        <w:rPr>
          <w:rFonts w:hint="eastAsia" w:cs="Arial"/>
          <w:color w:val="000000"/>
          <w:sz w:val="24"/>
          <w:lang w:val="en-US" w:eastAsia="zh-CN"/>
        </w:rPr>
        <w:t>109</w:t>
      </w:r>
      <w:r>
        <w:rPr>
          <w:rFonts w:hint="eastAsia" w:cs="Arial"/>
          <w:color w:val="000000"/>
          <w:sz w:val="24"/>
        </w:rPr>
        <w:t>；</w:t>
      </w:r>
    </w:p>
    <w:p>
      <w:pPr>
        <w:spacing w:line="360" w:lineRule="auto"/>
        <w:rPr>
          <w:rFonts w:cs="Arial"/>
          <w:color w:val="000000"/>
          <w:sz w:val="24"/>
        </w:rPr>
      </w:pPr>
      <w:r>
        <w:rPr>
          <w:rFonts w:hint="eastAsia" w:cs="Arial"/>
          <w:color w:val="000000"/>
          <w:sz w:val="24"/>
        </w:rPr>
        <w:t>二、项目名称：教学操作模型</w:t>
      </w:r>
      <w:r>
        <w:rPr>
          <w:rFonts w:hint="eastAsia" w:cs="Arial"/>
          <w:color w:val="000000"/>
          <w:sz w:val="24"/>
          <w:lang w:val="en-US" w:eastAsia="zh-CN"/>
        </w:rPr>
        <w:t>第二</w:t>
      </w:r>
      <w:r>
        <w:rPr>
          <w:rFonts w:hint="eastAsia" w:cs="Arial"/>
          <w:color w:val="000000"/>
          <w:sz w:val="24"/>
        </w:rPr>
        <w:t>批；</w:t>
      </w:r>
    </w:p>
    <w:tbl>
      <w:tblPr>
        <w:tblStyle w:val="6"/>
        <w:tblpPr w:leftFromText="180" w:rightFromText="180" w:vertAnchor="text" w:horzAnchor="page" w:tblpX="1783" w:tblpY="786"/>
        <w:tblOverlap w:val="never"/>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3285"/>
        <w:gridCol w:w="1496"/>
        <w:gridCol w:w="1368"/>
        <w:gridCol w:w="1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585" w:type="pct"/>
            <w:vAlign w:val="center"/>
          </w:tcPr>
          <w:p>
            <w:pPr>
              <w:jc w:val="center"/>
              <w:textAlignment w:val="center"/>
              <w:rPr>
                <w:rFonts w:hint="eastAsia"/>
                <w:sz w:val="28"/>
                <w:szCs w:val="32"/>
                <w:lang w:val="en-US" w:eastAsia="zh-CN"/>
              </w:rPr>
            </w:pPr>
            <w:r>
              <w:rPr>
                <w:rFonts w:hint="eastAsia"/>
                <w:sz w:val="28"/>
                <w:szCs w:val="32"/>
                <w:lang w:val="en-US" w:eastAsia="zh-CN"/>
              </w:rPr>
              <w:t>序号</w:t>
            </w:r>
          </w:p>
        </w:tc>
        <w:tc>
          <w:tcPr>
            <w:tcW w:w="1928" w:type="pct"/>
            <w:vAlign w:val="center"/>
          </w:tcPr>
          <w:p>
            <w:pPr>
              <w:jc w:val="center"/>
              <w:textAlignment w:val="center"/>
              <w:rPr>
                <w:rFonts w:hint="eastAsia"/>
                <w:sz w:val="28"/>
                <w:szCs w:val="32"/>
                <w:lang w:val="en-US" w:eastAsia="zh-CN"/>
              </w:rPr>
            </w:pPr>
            <w:r>
              <w:rPr>
                <w:rFonts w:hint="eastAsia"/>
                <w:sz w:val="28"/>
                <w:szCs w:val="32"/>
                <w:lang w:val="en-US" w:eastAsia="zh-CN"/>
              </w:rPr>
              <w:t>项目名称</w:t>
            </w:r>
          </w:p>
        </w:tc>
        <w:tc>
          <w:tcPr>
            <w:tcW w:w="878" w:type="pct"/>
            <w:vAlign w:val="center"/>
          </w:tcPr>
          <w:p>
            <w:pPr>
              <w:jc w:val="center"/>
              <w:textAlignment w:val="center"/>
              <w:rPr>
                <w:rFonts w:hint="eastAsia"/>
                <w:sz w:val="28"/>
                <w:szCs w:val="32"/>
                <w:lang w:val="en-US" w:eastAsia="zh-CN"/>
              </w:rPr>
            </w:pPr>
            <w:r>
              <w:rPr>
                <w:rFonts w:hint="eastAsia"/>
                <w:sz w:val="28"/>
                <w:szCs w:val="32"/>
                <w:lang w:val="en-US" w:eastAsia="zh-CN"/>
              </w:rPr>
              <w:t>单位</w:t>
            </w:r>
          </w:p>
        </w:tc>
        <w:tc>
          <w:tcPr>
            <w:tcW w:w="803" w:type="pct"/>
            <w:vAlign w:val="center"/>
          </w:tcPr>
          <w:p>
            <w:pPr>
              <w:jc w:val="center"/>
              <w:textAlignment w:val="center"/>
              <w:rPr>
                <w:rFonts w:hint="default" w:ascii="Tahoma" w:hAnsi="Tahoma" w:eastAsia="微软雅黑" w:cstheme="minorBidi"/>
                <w:sz w:val="28"/>
                <w:szCs w:val="32"/>
                <w:lang w:val="en-US" w:eastAsia="zh-CN" w:bidi="ar-SA"/>
              </w:rPr>
            </w:pPr>
            <w:r>
              <w:rPr>
                <w:rFonts w:hint="eastAsia" w:cstheme="minorBidi"/>
                <w:sz w:val="28"/>
                <w:szCs w:val="32"/>
                <w:lang w:val="en-US" w:eastAsia="zh-CN" w:bidi="ar-SA"/>
              </w:rPr>
              <w:t>数量</w:t>
            </w:r>
          </w:p>
        </w:tc>
        <w:tc>
          <w:tcPr>
            <w:tcW w:w="803" w:type="pct"/>
            <w:vAlign w:val="center"/>
          </w:tcPr>
          <w:p>
            <w:pPr>
              <w:jc w:val="center"/>
              <w:textAlignment w:val="center"/>
              <w:rPr>
                <w:rFonts w:hint="eastAsia" w:eastAsia="微软雅黑"/>
                <w:sz w:val="28"/>
                <w:szCs w:val="32"/>
                <w:lang w:eastAsia="zh-CN"/>
              </w:rPr>
            </w:pPr>
            <w:r>
              <w:rPr>
                <w:rFonts w:hint="eastAsia"/>
                <w:sz w:val="28"/>
                <w:szCs w:val="32"/>
                <w:lang w:val="en-US" w:eastAsia="zh-CN"/>
              </w:rPr>
              <w:t>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eastAsia"/>
                <w:sz w:val="28"/>
                <w:szCs w:val="32"/>
                <w:lang w:val="en-US" w:eastAsia="zh-CN"/>
              </w:rPr>
            </w:pPr>
            <w:r>
              <w:rPr>
                <w:rFonts w:hint="eastAsia"/>
                <w:sz w:val="28"/>
                <w:szCs w:val="32"/>
                <w:lang w:val="en-US" w:eastAsia="zh-CN"/>
              </w:rPr>
              <w:t>01</w:t>
            </w:r>
          </w:p>
        </w:tc>
        <w:tc>
          <w:tcPr>
            <w:tcW w:w="1928" w:type="pct"/>
            <w:vAlign w:val="center"/>
          </w:tcPr>
          <w:p>
            <w:pPr>
              <w:jc w:val="center"/>
              <w:textAlignment w:val="center"/>
              <w:rPr>
                <w:rFonts w:hint="default"/>
                <w:sz w:val="28"/>
                <w:szCs w:val="32"/>
                <w:lang w:val="en-US" w:eastAsia="zh-CN"/>
              </w:rPr>
            </w:pPr>
            <w:r>
              <w:rPr>
                <w:rFonts w:hint="eastAsia"/>
                <w:sz w:val="28"/>
                <w:szCs w:val="32"/>
                <w:lang w:val="en-US" w:eastAsia="zh-CN"/>
              </w:rPr>
              <w:t>心肺复苏兼气管插管模拟人生</w:t>
            </w:r>
          </w:p>
        </w:tc>
        <w:tc>
          <w:tcPr>
            <w:tcW w:w="878" w:type="pct"/>
            <w:vAlign w:val="center"/>
          </w:tcPr>
          <w:p>
            <w:pPr>
              <w:jc w:val="center"/>
              <w:textAlignment w:val="center"/>
              <w:rPr>
                <w:rFonts w:hint="default"/>
                <w:sz w:val="28"/>
                <w:szCs w:val="32"/>
                <w:lang w:val="en-US" w:eastAsia="zh-CN"/>
              </w:rPr>
            </w:pPr>
            <w:r>
              <w:rPr>
                <w:rFonts w:hint="eastAsia"/>
                <w:sz w:val="28"/>
                <w:szCs w:val="32"/>
                <w:lang w:val="en-US" w:eastAsia="zh-CN"/>
              </w:rPr>
              <w:t>台</w:t>
            </w: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803" w:type="pct"/>
            <w:vMerge w:val="restart"/>
            <w:vAlign w:val="center"/>
          </w:tcPr>
          <w:p>
            <w:pPr>
              <w:jc w:val="center"/>
              <w:textAlignment w:val="center"/>
              <w:rPr>
                <w:rFonts w:hint="eastAsia"/>
                <w:sz w:val="28"/>
                <w:szCs w:val="32"/>
                <w:lang w:val="en-US" w:eastAsia="zh-CN"/>
              </w:rPr>
            </w:pPr>
            <w:r>
              <w:rPr>
                <w:rFonts w:hint="eastAsia"/>
                <w:sz w:val="28"/>
                <w:szCs w:val="32"/>
                <w:lang w:val="en-US" w:eastAsia="zh-CN"/>
              </w:rPr>
              <w:t>见附件</w:t>
            </w:r>
            <w:r>
              <w:rPr>
                <w:rFonts w:hint="eastAsia"/>
                <w:sz w:val="28"/>
                <w:szCs w:val="3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default"/>
                <w:sz w:val="28"/>
                <w:szCs w:val="32"/>
                <w:lang w:val="en-US" w:eastAsia="zh-CN"/>
              </w:rPr>
            </w:pPr>
            <w:r>
              <w:rPr>
                <w:rFonts w:hint="eastAsia"/>
                <w:sz w:val="28"/>
                <w:szCs w:val="32"/>
                <w:lang w:val="en-US" w:eastAsia="zh-CN"/>
              </w:rPr>
              <w:t>02</w:t>
            </w:r>
          </w:p>
        </w:tc>
        <w:tc>
          <w:tcPr>
            <w:tcW w:w="1928" w:type="pct"/>
            <w:vAlign w:val="center"/>
          </w:tcPr>
          <w:p>
            <w:pPr>
              <w:jc w:val="center"/>
              <w:textAlignment w:val="center"/>
              <w:rPr>
                <w:rFonts w:hint="default"/>
                <w:sz w:val="28"/>
                <w:szCs w:val="32"/>
                <w:lang w:val="en-US" w:eastAsia="zh-CN"/>
              </w:rPr>
            </w:pPr>
            <w:r>
              <w:rPr>
                <w:rFonts w:hint="eastAsia"/>
                <w:sz w:val="28"/>
                <w:szCs w:val="32"/>
                <w:lang w:val="en-US" w:eastAsia="zh-CN"/>
              </w:rPr>
              <w:t>骨髓穿刺模型</w:t>
            </w:r>
          </w:p>
        </w:tc>
        <w:tc>
          <w:tcPr>
            <w:tcW w:w="878" w:type="pct"/>
            <w:vAlign w:val="center"/>
          </w:tcPr>
          <w:p>
            <w:pPr>
              <w:jc w:val="center"/>
              <w:textAlignment w:val="center"/>
              <w:rPr>
                <w:rFonts w:hint="default"/>
                <w:sz w:val="28"/>
                <w:szCs w:val="32"/>
                <w:lang w:val="en-US" w:eastAsia="zh-CN"/>
              </w:rPr>
            </w:pPr>
            <w:r>
              <w:rPr>
                <w:rFonts w:hint="eastAsia"/>
                <w:sz w:val="28"/>
                <w:szCs w:val="32"/>
                <w:lang w:val="en-US" w:eastAsia="zh-CN"/>
              </w:rPr>
              <w:t>台</w:t>
            </w: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803" w:type="pct"/>
            <w:vMerge w:val="continue"/>
            <w:tcBorders/>
            <w:vAlign w:val="center"/>
          </w:tcPr>
          <w:p>
            <w:pPr>
              <w:jc w:val="center"/>
              <w:textAlignment w:val="center"/>
              <w:rPr>
                <w:rFonts w:hint="eastAsia"/>
                <w:sz w:val="28"/>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default"/>
                <w:sz w:val="28"/>
                <w:szCs w:val="32"/>
                <w:lang w:val="en-US" w:eastAsia="zh-CN"/>
              </w:rPr>
            </w:pPr>
            <w:r>
              <w:rPr>
                <w:rFonts w:hint="eastAsia"/>
                <w:sz w:val="28"/>
                <w:szCs w:val="32"/>
                <w:lang w:val="en-US" w:eastAsia="zh-CN"/>
              </w:rPr>
              <w:t>03</w:t>
            </w:r>
          </w:p>
        </w:tc>
        <w:tc>
          <w:tcPr>
            <w:tcW w:w="1928" w:type="pct"/>
            <w:vAlign w:val="center"/>
          </w:tcPr>
          <w:p>
            <w:pPr>
              <w:jc w:val="center"/>
              <w:textAlignment w:val="center"/>
              <w:rPr>
                <w:rFonts w:hint="default"/>
                <w:sz w:val="28"/>
                <w:szCs w:val="32"/>
                <w:lang w:val="en-US" w:eastAsia="zh-CN"/>
              </w:rPr>
            </w:pPr>
            <w:r>
              <w:rPr>
                <w:rFonts w:hint="eastAsia"/>
                <w:sz w:val="28"/>
                <w:szCs w:val="32"/>
                <w:lang w:val="en-US" w:eastAsia="zh-CN"/>
              </w:rPr>
              <w:t>脓肿鉴别与切除操作模块</w:t>
            </w:r>
          </w:p>
        </w:tc>
        <w:tc>
          <w:tcPr>
            <w:tcW w:w="878" w:type="pct"/>
            <w:vAlign w:val="center"/>
          </w:tcPr>
          <w:p>
            <w:pPr>
              <w:jc w:val="center"/>
              <w:textAlignment w:val="center"/>
              <w:rPr>
                <w:rFonts w:hint="default"/>
                <w:sz w:val="28"/>
                <w:szCs w:val="32"/>
                <w:lang w:val="en-US" w:eastAsia="zh-CN"/>
              </w:rPr>
            </w:pPr>
            <w:r>
              <w:rPr>
                <w:rFonts w:hint="eastAsia"/>
                <w:sz w:val="28"/>
                <w:szCs w:val="32"/>
                <w:lang w:val="en-US" w:eastAsia="zh-CN"/>
              </w:rPr>
              <w:t>台</w:t>
            </w: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10</w:t>
            </w:r>
          </w:p>
        </w:tc>
        <w:tc>
          <w:tcPr>
            <w:tcW w:w="803" w:type="pct"/>
            <w:vMerge w:val="continue"/>
            <w:tcBorders/>
            <w:vAlign w:val="center"/>
          </w:tcPr>
          <w:p>
            <w:pPr>
              <w:jc w:val="center"/>
              <w:textAlignment w:val="center"/>
              <w:rPr>
                <w:rFonts w:hint="eastAsia"/>
                <w:sz w:val="28"/>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default"/>
                <w:sz w:val="28"/>
                <w:szCs w:val="32"/>
                <w:lang w:val="en-US" w:eastAsia="zh-CN"/>
              </w:rPr>
            </w:pPr>
            <w:r>
              <w:rPr>
                <w:rFonts w:hint="eastAsia"/>
                <w:sz w:val="28"/>
                <w:szCs w:val="32"/>
                <w:lang w:val="en-US" w:eastAsia="zh-CN"/>
              </w:rPr>
              <w:t>04</w:t>
            </w:r>
          </w:p>
        </w:tc>
        <w:tc>
          <w:tcPr>
            <w:tcW w:w="1928" w:type="pct"/>
            <w:vAlign w:val="center"/>
          </w:tcPr>
          <w:p>
            <w:pPr>
              <w:jc w:val="center"/>
              <w:textAlignment w:val="center"/>
              <w:rPr>
                <w:rFonts w:hint="eastAsia"/>
                <w:sz w:val="28"/>
                <w:szCs w:val="32"/>
                <w:lang w:val="en-US" w:eastAsia="zh-CN"/>
              </w:rPr>
            </w:pPr>
            <w:r>
              <w:rPr>
                <w:rFonts w:hint="eastAsia"/>
                <w:sz w:val="28"/>
                <w:szCs w:val="32"/>
                <w:lang w:val="en-US" w:eastAsia="zh-CN"/>
              </w:rPr>
              <w:t>皮脂腺囊肿切除操作模块</w:t>
            </w:r>
          </w:p>
        </w:tc>
        <w:tc>
          <w:tcPr>
            <w:tcW w:w="878" w:type="pct"/>
            <w:vAlign w:val="center"/>
          </w:tcPr>
          <w:p>
            <w:pPr>
              <w:jc w:val="center"/>
              <w:textAlignment w:val="center"/>
              <w:rPr>
                <w:rFonts w:hint="default"/>
                <w:sz w:val="28"/>
                <w:szCs w:val="32"/>
                <w:lang w:val="en-US" w:eastAsia="zh-CN"/>
              </w:rPr>
            </w:pPr>
            <w:r>
              <w:rPr>
                <w:rFonts w:hint="eastAsia"/>
                <w:sz w:val="28"/>
                <w:szCs w:val="32"/>
                <w:lang w:val="en-US" w:eastAsia="zh-CN"/>
              </w:rPr>
              <w:t>台</w:t>
            </w: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10</w:t>
            </w:r>
          </w:p>
        </w:tc>
        <w:tc>
          <w:tcPr>
            <w:tcW w:w="803" w:type="pct"/>
            <w:vMerge w:val="continue"/>
            <w:tcBorders/>
            <w:vAlign w:val="center"/>
          </w:tcPr>
          <w:p>
            <w:pPr>
              <w:jc w:val="center"/>
              <w:textAlignment w:val="center"/>
              <w:rPr>
                <w:rFonts w:hint="eastAsia"/>
                <w:sz w:val="28"/>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default"/>
                <w:sz w:val="28"/>
                <w:szCs w:val="32"/>
                <w:lang w:val="en-US" w:eastAsia="zh-CN"/>
              </w:rPr>
            </w:pPr>
            <w:r>
              <w:rPr>
                <w:rFonts w:hint="eastAsia"/>
                <w:sz w:val="28"/>
                <w:szCs w:val="32"/>
                <w:lang w:val="en-US" w:eastAsia="zh-CN"/>
              </w:rPr>
              <w:t>05</w:t>
            </w:r>
          </w:p>
        </w:tc>
        <w:tc>
          <w:tcPr>
            <w:tcW w:w="1928" w:type="pct"/>
            <w:vAlign w:val="center"/>
          </w:tcPr>
          <w:p>
            <w:pPr>
              <w:jc w:val="center"/>
              <w:textAlignment w:val="center"/>
              <w:rPr>
                <w:rFonts w:hint="default"/>
                <w:sz w:val="28"/>
                <w:szCs w:val="32"/>
                <w:lang w:val="en-US" w:eastAsia="zh-CN"/>
              </w:rPr>
            </w:pPr>
            <w:r>
              <w:rPr>
                <w:rFonts w:hint="eastAsia"/>
                <w:sz w:val="28"/>
                <w:szCs w:val="32"/>
                <w:lang w:val="en-US" w:eastAsia="zh-CN"/>
              </w:rPr>
              <w:t>脂肪瘤切除操作模块</w:t>
            </w:r>
          </w:p>
        </w:tc>
        <w:tc>
          <w:tcPr>
            <w:tcW w:w="878" w:type="pct"/>
            <w:vAlign w:val="center"/>
          </w:tcPr>
          <w:p>
            <w:pPr>
              <w:jc w:val="center"/>
              <w:textAlignment w:val="center"/>
              <w:rPr>
                <w:rFonts w:hint="eastAsia"/>
                <w:sz w:val="28"/>
                <w:szCs w:val="32"/>
                <w:lang w:val="en-US" w:eastAsia="zh-CN"/>
              </w:rPr>
            </w:pPr>
            <w:r>
              <w:rPr>
                <w:rFonts w:hint="eastAsia"/>
                <w:sz w:val="28"/>
                <w:szCs w:val="32"/>
                <w:lang w:val="en-US" w:eastAsia="zh-CN"/>
              </w:rPr>
              <w:t>台</w:t>
            </w: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10</w:t>
            </w:r>
          </w:p>
        </w:tc>
        <w:tc>
          <w:tcPr>
            <w:tcW w:w="803" w:type="pct"/>
            <w:vMerge w:val="continue"/>
            <w:tcBorders/>
            <w:vAlign w:val="center"/>
          </w:tcPr>
          <w:p>
            <w:pPr>
              <w:jc w:val="center"/>
              <w:textAlignment w:val="center"/>
              <w:rPr>
                <w:rFonts w:hint="eastAsia"/>
                <w:sz w:val="28"/>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default"/>
                <w:sz w:val="28"/>
                <w:szCs w:val="32"/>
                <w:lang w:val="en-US" w:eastAsia="zh-CN"/>
              </w:rPr>
            </w:pPr>
            <w:r>
              <w:rPr>
                <w:rFonts w:hint="eastAsia"/>
                <w:sz w:val="28"/>
                <w:szCs w:val="32"/>
                <w:lang w:val="en-US" w:eastAsia="zh-CN"/>
              </w:rPr>
              <w:t>06</w:t>
            </w:r>
          </w:p>
        </w:tc>
        <w:tc>
          <w:tcPr>
            <w:tcW w:w="1928" w:type="pct"/>
            <w:vAlign w:val="center"/>
          </w:tcPr>
          <w:p>
            <w:pPr>
              <w:jc w:val="center"/>
              <w:textAlignment w:val="center"/>
              <w:rPr>
                <w:rFonts w:hint="default"/>
                <w:sz w:val="28"/>
                <w:szCs w:val="32"/>
                <w:lang w:val="en-US" w:eastAsia="zh-CN"/>
              </w:rPr>
            </w:pPr>
            <w:r>
              <w:rPr>
                <w:rFonts w:hint="eastAsia"/>
                <w:sz w:val="28"/>
                <w:szCs w:val="32"/>
                <w:lang w:val="en-US" w:eastAsia="zh-CN"/>
              </w:rPr>
              <w:t>中心静脉置管模型</w:t>
            </w:r>
          </w:p>
        </w:tc>
        <w:tc>
          <w:tcPr>
            <w:tcW w:w="878" w:type="pct"/>
            <w:vAlign w:val="center"/>
          </w:tcPr>
          <w:p>
            <w:pPr>
              <w:jc w:val="center"/>
              <w:textAlignment w:val="center"/>
              <w:rPr>
                <w:rFonts w:hint="eastAsia"/>
                <w:sz w:val="28"/>
                <w:szCs w:val="32"/>
                <w:lang w:val="en-US" w:eastAsia="zh-CN"/>
              </w:rPr>
            </w:pPr>
            <w:r>
              <w:rPr>
                <w:rFonts w:hint="eastAsia"/>
                <w:sz w:val="28"/>
                <w:szCs w:val="32"/>
                <w:lang w:val="en-US" w:eastAsia="zh-CN"/>
              </w:rPr>
              <w:t>台</w:t>
            </w: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803" w:type="pct"/>
            <w:vMerge w:val="continue"/>
            <w:tcBorders/>
            <w:vAlign w:val="center"/>
          </w:tcPr>
          <w:p>
            <w:pPr>
              <w:jc w:val="center"/>
              <w:textAlignment w:val="center"/>
              <w:rPr>
                <w:rFonts w:hint="eastAsia"/>
                <w:sz w:val="28"/>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default"/>
                <w:sz w:val="28"/>
                <w:szCs w:val="32"/>
                <w:lang w:val="en-US" w:eastAsia="zh-CN"/>
              </w:rPr>
            </w:pPr>
            <w:r>
              <w:rPr>
                <w:rFonts w:hint="eastAsia"/>
                <w:sz w:val="28"/>
                <w:szCs w:val="32"/>
                <w:lang w:val="en-US" w:eastAsia="zh-CN"/>
              </w:rPr>
              <w:t>07</w:t>
            </w:r>
          </w:p>
        </w:tc>
        <w:tc>
          <w:tcPr>
            <w:tcW w:w="1928" w:type="pct"/>
            <w:vAlign w:val="center"/>
          </w:tcPr>
          <w:p>
            <w:pPr>
              <w:jc w:val="center"/>
              <w:textAlignment w:val="center"/>
              <w:rPr>
                <w:rFonts w:hint="default"/>
                <w:sz w:val="28"/>
                <w:szCs w:val="32"/>
                <w:lang w:val="en-US" w:eastAsia="zh-CN"/>
              </w:rPr>
            </w:pPr>
            <w:r>
              <w:rPr>
                <w:rFonts w:hint="eastAsia"/>
                <w:sz w:val="28"/>
                <w:szCs w:val="32"/>
                <w:lang w:val="en-US" w:eastAsia="zh-CN"/>
              </w:rPr>
              <w:t>乳腺脓肿切开操作模型</w:t>
            </w:r>
          </w:p>
        </w:tc>
        <w:tc>
          <w:tcPr>
            <w:tcW w:w="878" w:type="pct"/>
            <w:vAlign w:val="center"/>
          </w:tcPr>
          <w:p>
            <w:pPr>
              <w:jc w:val="center"/>
              <w:textAlignment w:val="center"/>
              <w:rPr>
                <w:rFonts w:hint="eastAsia"/>
                <w:sz w:val="28"/>
                <w:szCs w:val="32"/>
                <w:lang w:val="en-US" w:eastAsia="zh-CN"/>
              </w:rPr>
            </w:pPr>
            <w:r>
              <w:rPr>
                <w:rFonts w:hint="eastAsia"/>
                <w:sz w:val="28"/>
                <w:szCs w:val="32"/>
                <w:lang w:val="en-US" w:eastAsia="zh-CN"/>
              </w:rPr>
              <w:t>台</w:t>
            </w: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803" w:type="pct"/>
            <w:vMerge w:val="continue"/>
            <w:tcBorders/>
            <w:vAlign w:val="center"/>
          </w:tcPr>
          <w:p>
            <w:pPr>
              <w:jc w:val="center"/>
              <w:textAlignment w:val="center"/>
              <w:rPr>
                <w:rFonts w:hint="eastAsia"/>
                <w:sz w:val="28"/>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default"/>
                <w:sz w:val="28"/>
                <w:szCs w:val="32"/>
                <w:lang w:val="en-US" w:eastAsia="zh-CN"/>
              </w:rPr>
            </w:pPr>
            <w:r>
              <w:rPr>
                <w:rFonts w:hint="eastAsia"/>
                <w:sz w:val="28"/>
                <w:szCs w:val="32"/>
                <w:lang w:val="en-US" w:eastAsia="zh-CN"/>
              </w:rPr>
              <w:t>08</w:t>
            </w:r>
          </w:p>
        </w:tc>
        <w:tc>
          <w:tcPr>
            <w:tcW w:w="1928" w:type="pct"/>
            <w:vAlign w:val="center"/>
          </w:tcPr>
          <w:p>
            <w:pPr>
              <w:jc w:val="center"/>
              <w:textAlignment w:val="center"/>
              <w:rPr>
                <w:rFonts w:hint="default"/>
                <w:sz w:val="28"/>
                <w:szCs w:val="32"/>
                <w:lang w:val="en-US" w:eastAsia="zh-CN"/>
              </w:rPr>
            </w:pPr>
            <w:r>
              <w:rPr>
                <w:rFonts w:hint="eastAsia"/>
                <w:sz w:val="28"/>
                <w:szCs w:val="32"/>
                <w:lang w:val="en-US" w:eastAsia="zh-CN"/>
              </w:rPr>
              <w:t>后穹窿穿刺模型</w:t>
            </w:r>
          </w:p>
        </w:tc>
        <w:tc>
          <w:tcPr>
            <w:tcW w:w="878" w:type="pct"/>
            <w:vAlign w:val="center"/>
          </w:tcPr>
          <w:p>
            <w:pPr>
              <w:jc w:val="center"/>
              <w:textAlignment w:val="center"/>
              <w:rPr>
                <w:rFonts w:hint="eastAsia"/>
                <w:sz w:val="28"/>
                <w:szCs w:val="32"/>
                <w:lang w:val="en-US" w:eastAsia="zh-CN"/>
              </w:rPr>
            </w:pPr>
            <w:r>
              <w:rPr>
                <w:rFonts w:hint="eastAsia"/>
                <w:sz w:val="28"/>
                <w:szCs w:val="32"/>
                <w:lang w:val="en-US" w:eastAsia="zh-CN"/>
              </w:rPr>
              <w:t>台</w:t>
            </w: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803" w:type="pct"/>
            <w:vMerge w:val="continue"/>
            <w:tcBorders/>
            <w:vAlign w:val="center"/>
          </w:tcPr>
          <w:p>
            <w:pPr>
              <w:jc w:val="center"/>
              <w:textAlignment w:val="center"/>
              <w:rPr>
                <w:rFonts w:hint="eastAsia"/>
                <w:sz w:val="28"/>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default"/>
                <w:sz w:val="28"/>
                <w:szCs w:val="32"/>
                <w:lang w:val="en-US" w:eastAsia="zh-CN"/>
              </w:rPr>
            </w:pPr>
            <w:r>
              <w:rPr>
                <w:rFonts w:hint="eastAsia"/>
                <w:sz w:val="28"/>
                <w:szCs w:val="32"/>
                <w:lang w:val="en-US" w:eastAsia="zh-CN"/>
              </w:rPr>
              <w:t>09</w:t>
            </w:r>
          </w:p>
        </w:tc>
        <w:tc>
          <w:tcPr>
            <w:tcW w:w="1928" w:type="pct"/>
            <w:vAlign w:val="center"/>
          </w:tcPr>
          <w:p>
            <w:pPr>
              <w:jc w:val="center"/>
              <w:textAlignment w:val="center"/>
              <w:rPr>
                <w:rFonts w:hint="default"/>
                <w:sz w:val="28"/>
                <w:szCs w:val="32"/>
                <w:lang w:val="en-US" w:eastAsia="zh-CN"/>
              </w:rPr>
            </w:pPr>
            <w:r>
              <w:rPr>
                <w:rFonts w:hint="eastAsia"/>
                <w:sz w:val="28"/>
                <w:szCs w:val="32"/>
                <w:lang w:val="en-US" w:eastAsia="zh-CN"/>
              </w:rPr>
              <w:t>四部触诊模型型</w:t>
            </w:r>
          </w:p>
        </w:tc>
        <w:tc>
          <w:tcPr>
            <w:tcW w:w="878" w:type="pct"/>
            <w:vAlign w:val="center"/>
          </w:tcPr>
          <w:p>
            <w:pPr>
              <w:jc w:val="center"/>
              <w:textAlignment w:val="center"/>
              <w:rPr>
                <w:rFonts w:hint="eastAsia"/>
                <w:sz w:val="28"/>
                <w:szCs w:val="32"/>
                <w:lang w:val="en-US" w:eastAsia="zh-CN"/>
              </w:rPr>
            </w:pPr>
            <w:r>
              <w:rPr>
                <w:rFonts w:hint="eastAsia"/>
                <w:sz w:val="28"/>
                <w:szCs w:val="32"/>
                <w:lang w:val="en-US" w:eastAsia="zh-CN"/>
              </w:rPr>
              <w:t>台</w:t>
            </w: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803" w:type="pct"/>
            <w:vMerge w:val="continue"/>
            <w:tcBorders/>
            <w:vAlign w:val="center"/>
          </w:tcPr>
          <w:p>
            <w:pPr>
              <w:jc w:val="center"/>
              <w:textAlignment w:val="center"/>
              <w:rPr>
                <w:rFonts w:hint="eastAsia"/>
                <w:sz w:val="28"/>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default"/>
                <w:sz w:val="28"/>
                <w:szCs w:val="32"/>
                <w:lang w:val="en-US" w:eastAsia="zh-CN"/>
              </w:rPr>
            </w:pPr>
            <w:r>
              <w:rPr>
                <w:rFonts w:hint="eastAsia"/>
                <w:sz w:val="28"/>
                <w:szCs w:val="32"/>
                <w:lang w:val="en-US" w:eastAsia="zh-CN"/>
              </w:rPr>
              <w:t>10</w:t>
            </w:r>
          </w:p>
        </w:tc>
        <w:tc>
          <w:tcPr>
            <w:tcW w:w="1928" w:type="pct"/>
            <w:vAlign w:val="center"/>
          </w:tcPr>
          <w:p>
            <w:pPr>
              <w:jc w:val="center"/>
              <w:textAlignment w:val="center"/>
              <w:rPr>
                <w:rFonts w:hint="default"/>
                <w:sz w:val="28"/>
                <w:szCs w:val="32"/>
                <w:lang w:val="en-US" w:eastAsia="zh-CN"/>
              </w:rPr>
            </w:pPr>
            <w:r>
              <w:rPr>
                <w:rFonts w:hint="eastAsia"/>
                <w:sz w:val="28"/>
                <w:szCs w:val="32"/>
                <w:lang w:val="en-US" w:eastAsia="zh-CN"/>
              </w:rPr>
              <w:t>儿童腰椎穿刺模型</w:t>
            </w:r>
          </w:p>
        </w:tc>
        <w:tc>
          <w:tcPr>
            <w:tcW w:w="878" w:type="pct"/>
            <w:vAlign w:val="center"/>
          </w:tcPr>
          <w:p>
            <w:pPr>
              <w:jc w:val="center"/>
              <w:textAlignment w:val="center"/>
              <w:rPr>
                <w:rFonts w:hint="eastAsia"/>
                <w:sz w:val="28"/>
                <w:szCs w:val="32"/>
                <w:lang w:val="en-US" w:eastAsia="zh-CN"/>
              </w:rPr>
            </w:pPr>
            <w:r>
              <w:rPr>
                <w:rFonts w:hint="eastAsia"/>
                <w:sz w:val="28"/>
                <w:szCs w:val="32"/>
                <w:lang w:val="en-US" w:eastAsia="zh-CN"/>
              </w:rPr>
              <w:t>台</w:t>
            </w: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803" w:type="pct"/>
            <w:vMerge w:val="continue"/>
            <w:tcBorders/>
            <w:vAlign w:val="center"/>
          </w:tcPr>
          <w:p>
            <w:pPr>
              <w:jc w:val="center"/>
              <w:textAlignment w:val="center"/>
              <w:rPr>
                <w:rFonts w:hint="eastAsia"/>
                <w:sz w:val="28"/>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default"/>
                <w:sz w:val="28"/>
                <w:szCs w:val="32"/>
                <w:lang w:val="en-US" w:eastAsia="zh-CN"/>
              </w:rPr>
            </w:pPr>
            <w:r>
              <w:rPr>
                <w:rFonts w:hint="eastAsia"/>
                <w:sz w:val="28"/>
                <w:szCs w:val="32"/>
                <w:lang w:val="en-US" w:eastAsia="zh-CN"/>
              </w:rPr>
              <w:t>11</w:t>
            </w:r>
          </w:p>
        </w:tc>
        <w:tc>
          <w:tcPr>
            <w:tcW w:w="1928" w:type="pct"/>
            <w:vAlign w:val="center"/>
          </w:tcPr>
          <w:p>
            <w:pPr>
              <w:jc w:val="center"/>
              <w:textAlignment w:val="center"/>
              <w:rPr>
                <w:rFonts w:hint="default"/>
                <w:sz w:val="28"/>
                <w:szCs w:val="32"/>
                <w:lang w:val="en-US" w:eastAsia="zh-CN"/>
              </w:rPr>
            </w:pPr>
            <w:r>
              <w:rPr>
                <w:rFonts w:hint="eastAsia"/>
                <w:sz w:val="28"/>
                <w:szCs w:val="32"/>
                <w:lang w:val="en-US" w:eastAsia="zh-CN"/>
              </w:rPr>
              <w:t>儿童气管穿管操作模型</w:t>
            </w:r>
          </w:p>
        </w:tc>
        <w:tc>
          <w:tcPr>
            <w:tcW w:w="878" w:type="pct"/>
            <w:vAlign w:val="center"/>
          </w:tcPr>
          <w:p>
            <w:pPr>
              <w:jc w:val="center"/>
              <w:textAlignment w:val="center"/>
              <w:rPr>
                <w:rFonts w:hint="eastAsia"/>
                <w:sz w:val="28"/>
                <w:szCs w:val="32"/>
                <w:lang w:val="en-US" w:eastAsia="zh-CN"/>
              </w:rPr>
            </w:pPr>
            <w:r>
              <w:rPr>
                <w:rFonts w:hint="eastAsia"/>
                <w:sz w:val="28"/>
                <w:szCs w:val="32"/>
                <w:lang w:val="en-US" w:eastAsia="zh-CN"/>
              </w:rPr>
              <w:t>台</w:t>
            </w: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803" w:type="pct"/>
            <w:vMerge w:val="continue"/>
            <w:tcBorders/>
            <w:vAlign w:val="center"/>
          </w:tcPr>
          <w:p>
            <w:pPr>
              <w:jc w:val="center"/>
              <w:textAlignment w:val="center"/>
              <w:rPr>
                <w:rFonts w:hint="eastAsia"/>
                <w:sz w:val="28"/>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default"/>
                <w:sz w:val="28"/>
                <w:szCs w:val="32"/>
                <w:lang w:val="en-US" w:eastAsia="zh-CN"/>
              </w:rPr>
            </w:pPr>
            <w:r>
              <w:rPr>
                <w:rFonts w:hint="eastAsia"/>
                <w:sz w:val="28"/>
                <w:szCs w:val="32"/>
                <w:lang w:val="en-US" w:eastAsia="zh-CN"/>
              </w:rPr>
              <w:t>12</w:t>
            </w:r>
          </w:p>
        </w:tc>
        <w:tc>
          <w:tcPr>
            <w:tcW w:w="1928" w:type="pct"/>
            <w:vAlign w:val="center"/>
          </w:tcPr>
          <w:p>
            <w:pPr>
              <w:jc w:val="center"/>
              <w:textAlignment w:val="center"/>
              <w:rPr>
                <w:rFonts w:hint="default"/>
                <w:sz w:val="28"/>
                <w:szCs w:val="32"/>
                <w:lang w:val="en-US" w:eastAsia="zh-CN"/>
              </w:rPr>
            </w:pPr>
            <w:r>
              <w:rPr>
                <w:rFonts w:hint="eastAsia"/>
                <w:sz w:val="28"/>
                <w:szCs w:val="32"/>
                <w:lang w:val="en-US" w:eastAsia="zh-CN"/>
              </w:rPr>
              <w:t>静脉手臂</w:t>
            </w:r>
          </w:p>
        </w:tc>
        <w:tc>
          <w:tcPr>
            <w:tcW w:w="878" w:type="pct"/>
            <w:vAlign w:val="center"/>
          </w:tcPr>
          <w:p>
            <w:pPr>
              <w:jc w:val="center"/>
              <w:textAlignment w:val="center"/>
              <w:rPr>
                <w:rFonts w:hint="eastAsia"/>
                <w:sz w:val="28"/>
                <w:szCs w:val="32"/>
                <w:lang w:val="en-US" w:eastAsia="zh-CN"/>
              </w:rPr>
            </w:pPr>
            <w:r>
              <w:rPr>
                <w:rFonts w:hint="eastAsia"/>
                <w:sz w:val="28"/>
                <w:szCs w:val="32"/>
                <w:lang w:val="en-US" w:eastAsia="zh-CN"/>
              </w:rPr>
              <w:t>台</w:t>
            </w: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803" w:type="pct"/>
            <w:vMerge w:val="continue"/>
            <w:tcBorders/>
            <w:vAlign w:val="center"/>
          </w:tcPr>
          <w:p>
            <w:pPr>
              <w:jc w:val="center"/>
              <w:textAlignment w:val="center"/>
              <w:rPr>
                <w:rFonts w:hint="eastAsia"/>
                <w:sz w:val="28"/>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default"/>
                <w:sz w:val="28"/>
                <w:szCs w:val="32"/>
                <w:lang w:val="en-US" w:eastAsia="zh-CN"/>
              </w:rPr>
            </w:pPr>
            <w:r>
              <w:rPr>
                <w:rFonts w:hint="eastAsia"/>
                <w:sz w:val="28"/>
                <w:szCs w:val="32"/>
                <w:lang w:val="en-US" w:eastAsia="zh-CN"/>
              </w:rPr>
              <w:t>13</w:t>
            </w:r>
          </w:p>
        </w:tc>
        <w:tc>
          <w:tcPr>
            <w:tcW w:w="1928" w:type="pct"/>
            <w:vAlign w:val="center"/>
          </w:tcPr>
          <w:p>
            <w:pPr>
              <w:jc w:val="center"/>
              <w:textAlignment w:val="center"/>
              <w:rPr>
                <w:rFonts w:hint="default"/>
                <w:sz w:val="28"/>
                <w:szCs w:val="32"/>
                <w:lang w:val="en-US" w:eastAsia="zh-CN"/>
              </w:rPr>
            </w:pPr>
            <w:r>
              <w:rPr>
                <w:rFonts w:hint="eastAsia"/>
                <w:sz w:val="28"/>
                <w:szCs w:val="32"/>
                <w:lang w:val="en-US" w:eastAsia="zh-CN"/>
              </w:rPr>
              <w:t>女病人导尿模型</w:t>
            </w:r>
          </w:p>
        </w:tc>
        <w:tc>
          <w:tcPr>
            <w:tcW w:w="878" w:type="pct"/>
            <w:vAlign w:val="center"/>
          </w:tcPr>
          <w:p>
            <w:pPr>
              <w:jc w:val="center"/>
              <w:textAlignment w:val="center"/>
              <w:rPr>
                <w:rFonts w:hint="eastAsia"/>
                <w:sz w:val="28"/>
                <w:szCs w:val="32"/>
                <w:lang w:val="en-US" w:eastAsia="zh-CN"/>
              </w:rPr>
            </w:pPr>
            <w:r>
              <w:rPr>
                <w:rFonts w:hint="eastAsia"/>
                <w:sz w:val="28"/>
                <w:szCs w:val="32"/>
                <w:lang w:val="en-US" w:eastAsia="zh-CN"/>
              </w:rPr>
              <w:t>台</w:t>
            </w: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803" w:type="pct"/>
            <w:vMerge w:val="continue"/>
            <w:tcBorders/>
            <w:vAlign w:val="center"/>
          </w:tcPr>
          <w:p>
            <w:pPr>
              <w:jc w:val="center"/>
              <w:textAlignment w:val="center"/>
              <w:rPr>
                <w:rFonts w:hint="eastAsia"/>
                <w:sz w:val="28"/>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default"/>
                <w:sz w:val="28"/>
                <w:szCs w:val="32"/>
                <w:lang w:val="en-US" w:eastAsia="zh-CN"/>
              </w:rPr>
            </w:pPr>
            <w:r>
              <w:rPr>
                <w:rFonts w:hint="eastAsia"/>
                <w:sz w:val="28"/>
                <w:szCs w:val="32"/>
                <w:lang w:val="en-US" w:eastAsia="zh-CN"/>
              </w:rPr>
              <w:t>14</w:t>
            </w:r>
          </w:p>
        </w:tc>
        <w:tc>
          <w:tcPr>
            <w:tcW w:w="1928" w:type="pct"/>
            <w:vAlign w:val="center"/>
          </w:tcPr>
          <w:p>
            <w:pPr>
              <w:jc w:val="center"/>
              <w:textAlignment w:val="center"/>
              <w:rPr>
                <w:rFonts w:hint="default"/>
                <w:sz w:val="28"/>
                <w:szCs w:val="32"/>
                <w:lang w:val="en-US" w:eastAsia="zh-CN"/>
              </w:rPr>
            </w:pPr>
            <w:r>
              <w:rPr>
                <w:rFonts w:hint="eastAsia"/>
                <w:sz w:val="28"/>
                <w:szCs w:val="32"/>
                <w:lang w:val="en-US" w:eastAsia="zh-CN"/>
              </w:rPr>
              <w:t>半身人模型</w:t>
            </w:r>
          </w:p>
        </w:tc>
        <w:tc>
          <w:tcPr>
            <w:tcW w:w="878" w:type="pct"/>
            <w:vAlign w:val="center"/>
          </w:tcPr>
          <w:p>
            <w:pPr>
              <w:jc w:val="center"/>
              <w:textAlignment w:val="center"/>
              <w:rPr>
                <w:rFonts w:hint="eastAsia"/>
                <w:sz w:val="28"/>
                <w:szCs w:val="32"/>
                <w:lang w:val="en-US" w:eastAsia="zh-CN"/>
              </w:rPr>
            </w:pPr>
            <w:r>
              <w:rPr>
                <w:rFonts w:hint="eastAsia"/>
                <w:sz w:val="28"/>
                <w:szCs w:val="32"/>
                <w:lang w:val="en-US" w:eastAsia="zh-CN"/>
              </w:rPr>
              <w:t>台</w:t>
            </w: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803" w:type="pct"/>
            <w:vMerge w:val="continue"/>
            <w:tcBorders/>
            <w:vAlign w:val="center"/>
          </w:tcPr>
          <w:p>
            <w:pPr>
              <w:jc w:val="center"/>
              <w:textAlignment w:val="center"/>
              <w:rPr>
                <w:rFonts w:hint="eastAsia"/>
                <w:sz w:val="28"/>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default"/>
                <w:sz w:val="28"/>
                <w:szCs w:val="32"/>
                <w:lang w:val="en-US" w:eastAsia="zh-CN"/>
              </w:rPr>
            </w:pPr>
            <w:r>
              <w:rPr>
                <w:rFonts w:hint="eastAsia"/>
                <w:sz w:val="28"/>
                <w:szCs w:val="32"/>
                <w:lang w:val="en-US" w:eastAsia="zh-CN"/>
              </w:rPr>
              <w:t>15</w:t>
            </w:r>
          </w:p>
        </w:tc>
        <w:tc>
          <w:tcPr>
            <w:tcW w:w="1928" w:type="pct"/>
            <w:vAlign w:val="center"/>
          </w:tcPr>
          <w:p>
            <w:pPr>
              <w:jc w:val="center"/>
              <w:textAlignment w:val="center"/>
              <w:rPr>
                <w:rFonts w:hint="eastAsia"/>
                <w:sz w:val="28"/>
                <w:szCs w:val="32"/>
                <w:lang w:val="en-US" w:eastAsia="zh-CN"/>
              </w:rPr>
            </w:pPr>
            <w:r>
              <w:rPr>
                <w:rFonts w:hint="eastAsia"/>
                <w:sz w:val="28"/>
                <w:szCs w:val="32"/>
                <w:lang w:val="en-US" w:eastAsia="zh-CN"/>
              </w:rPr>
              <w:t>肌内注射</w:t>
            </w:r>
          </w:p>
        </w:tc>
        <w:tc>
          <w:tcPr>
            <w:tcW w:w="878" w:type="pct"/>
            <w:vAlign w:val="center"/>
          </w:tcPr>
          <w:p>
            <w:pPr>
              <w:jc w:val="center"/>
              <w:textAlignment w:val="center"/>
              <w:rPr>
                <w:rFonts w:hint="eastAsia"/>
                <w:sz w:val="28"/>
                <w:szCs w:val="32"/>
                <w:lang w:val="en-US" w:eastAsia="zh-CN"/>
              </w:rPr>
            </w:pPr>
            <w:r>
              <w:rPr>
                <w:rFonts w:hint="eastAsia"/>
                <w:sz w:val="28"/>
                <w:szCs w:val="32"/>
                <w:lang w:val="en-US" w:eastAsia="zh-CN"/>
              </w:rPr>
              <w:t>台</w:t>
            </w: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803" w:type="pct"/>
            <w:vMerge w:val="continue"/>
            <w:tcBorders/>
            <w:vAlign w:val="center"/>
          </w:tcPr>
          <w:p>
            <w:pPr>
              <w:jc w:val="center"/>
              <w:textAlignment w:val="center"/>
              <w:rPr>
                <w:rFonts w:hint="eastAsia"/>
                <w:sz w:val="28"/>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default"/>
                <w:sz w:val="28"/>
                <w:szCs w:val="32"/>
                <w:lang w:val="en-US" w:eastAsia="zh-CN"/>
              </w:rPr>
            </w:pPr>
            <w:r>
              <w:rPr>
                <w:rFonts w:hint="eastAsia"/>
                <w:sz w:val="28"/>
                <w:szCs w:val="32"/>
                <w:lang w:val="en-US" w:eastAsia="zh-CN"/>
              </w:rPr>
              <w:t>16</w:t>
            </w:r>
          </w:p>
        </w:tc>
        <w:tc>
          <w:tcPr>
            <w:tcW w:w="1928" w:type="pct"/>
            <w:vAlign w:val="center"/>
          </w:tcPr>
          <w:p>
            <w:pPr>
              <w:jc w:val="center"/>
              <w:textAlignment w:val="center"/>
              <w:rPr>
                <w:rFonts w:hint="eastAsia"/>
                <w:sz w:val="28"/>
                <w:szCs w:val="32"/>
                <w:lang w:val="en-US" w:eastAsia="zh-CN"/>
              </w:rPr>
            </w:pPr>
            <w:r>
              <w:rPr>
                <w:rFonts w:hint="eastAsia"/>
                <w:sz w:val="28"/>
                <w:szCs w:val="32"/>
                <w:lang w:val="en-US" w:eastAsia="zh-CN"/>
              </w:rPr>
              <w:t>灌肠模型</w:t>
            </w:r>
          </w:p>
        </w:tc>
        <w:tc>
          <w:tcPr>
            <w:tcW w:w="878" w:type="pct"/>
            <w:vAlign w:val="center"/>
          </w:tcPr>
          <w:p>
            <w:pPr>
              <w:jc w:val="center"/>
              <w:textAlignment w:val="center"/>
              <w:rPr>
                <w:rFonts w:hint="eastAsia"/>
                <w:sz w:val="28"/>
                <w:szCs w:val="32"/>
                <w:lang w:val="en-US" w:eastAsia="zh-CN"/>
              </w:rPr>
            </w:pPr>
            <w:r>
              <w:rPr>
                <w:rFonts w:hint="eastAsia"/>
                <w:sz w:val="28"/>
                <w:szCs w:val="32"/>
                <w:lang w:val="en-US" w:eastAsia="zh-CN"/>
              </w:rPr>
              <w:t>台</w:t>
            </w:r>
          </w:p>
          <w:p>
            <w:pPr>
              <w:jc w:val="center"/>
              <w:textAlignment w:val="center"/>
              <w:rPr>
                <w:rFonts w:hint="eastAsia"/>
                <w:sz w:val="28"/>
                <w:szCs w:val="32"/>
                <w:lang w:val="en-US" w:eastAsia="zh-CN"/>
              </w:rPr>
            </w:pPr>
          </w:p>
          <w:p>
            <w:pPr>
              <w:jc w:val="center"/>
              <w:textAlignment w:val="center"/>
              <w:rPr>
                <w:rFonts w:hint="eastAsia"/>
                <w:sz w:val="28"/>
                <w:szCs w:val="32"/>
                <w:lang w:val="en-US" w:eastAsia="zh-CN"/>
              </w:rPr>
            </w:pP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w:t>
            </w:r>
          </w:p>
          <w:p>
            <w:pPr>
              <w:jc w:val="center"/>
              <w:textAlignment w:val="center"/>
              <w:rPr>
                <w:rFonts w:hint="eastAsia"/>
                <w:sz w:val="28"/>
                <w:szCs w:val="32"/>
                <w:lang w:val="en-US" w:eastAsia="zh-CN"/>
              </w:rPr>
            </w:pPr>
          </w:p>
        </w:tc>
        <w:tc>
          <w:tcPr>
            <w:tcW w:w="803" w:type="pct"/>
            <w:vMerge w:val="continue"/>
            <w:tcBorders/>
            <w:vAlign w:val="center"/>
          </w:tcPr>
          <w:p>
            <w:pPr>
              <w:jc w:val="center"/>
              <w:textAlignment w:val="center"/>
              <w:rPr>
                <w:rFonts w:hint="eastAsia"/>
                <w:sz w:val="28"/>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5" w:type="pct"/>
            <w:vAlign w:val="center"/>
          </w:tcPr>
          <w:p>
            <w:pPr>
              <w:jc w:val="center"/>
              <w:textAlignment w:val="center"/>
              <w:rPr>
                <w:rFonts w:hint="default"/>
                <w:sz w:val="28"/>
                <w:szCs w:val="32"/>
                <w:lang w:val="en-US" w:eastAsia="zh-CN"/>
              </w:rPr>
            </w:pPr>
            <w:r>
              <w:rPr>
                <w:rFonts w:hint="eastAsia"/>
                <w:sz w:val="28"/>
                <w:szCs w:val="32"/>
                <w:lang w:val="en-US" w:eastAsia="zh-CN"/>
              </w:rPr>
              <w:t>17</w:t>
            </w:r>
          </w:p>
        </w:tc>
        <w:tc>
          <w:tcPr>
            <w:tcW w:w="1928" w:type="pct"/>
            <w:vAlign w:val="center"/>
          </w:tcPr>
          <w:p>
            <w:pPr>
              <w:jc w:val="center"/>
              <w:textAlignment w:val="center"/>
              <w:rPr>
                <w:rFonts w:hint="eastAsia"/>
                <w:sz w:val="28"/>
                <w:szCs w:val="32"/>
                <w:lang w:val="en-US" w:eastAsia="zh-CN"/>
              </w:rPr>
            </w:pPr>
            <w:r>
              <w:rPr>
                <w:rFonts w:hint="eastAsia"/>
                <w:sz w:val="28"/>
                <w:szCs w:val="32"/>
                <w:lang w:val="en-US" w:eastAsia="zh-CN"/>
              </w:rPr>
              <w:t>股静脉穿刺模型</w:t>
            </w:r>
          </w:p>
        </w:tc>
        <w:tc>
          <w:tcPr>
            <w:tcW w:w="878" w:type="pct"/>
            <w:vAlign w:val="center"/>
          </w:tcPr>
          <w:p>
            <w:pPr>
              <w:jc w:val="center"/>
              <w:textAlignment w:val="center"/>
              <w:rPr>
                <w:rFonts w:hint="eastAsia"/>
                <w:sz w:val="28"/>
                <w:szCs w:val="32"/>
                <w:lang w:val="en-US" w:eastAsia="zh-CN"/>
              </w:rPr>
            </w:pPr>
            <w:r>
              <w:rPr>
                <w:rFonts w:hint="eastAsia"/>
                <w:sz w:val="28"/>
                <w:szCs w:val="32"/>
                <w:lang w:val="en-US" w:eastAsia="zh-CN"/>
              </w:rPr>
              <w:t>台</w:t>
            </w:r>
          </w:p>
        </w:tc>
        <w:tc>
          <w:tcPr>
            <w:tcW w:w="803" w:type="pct"/>
            <w:vAlign w:val="center"/>
          </w:tcPr>
          <w:p>
            <w:pPr>
              <w:jc w:val="center"/>
              <w:textAlignment w:val="center"/>
              <w:rPr>
                <w:rFonts w:hint="eastAsia"/>
                <w:sz w:val="28"/>
                <w:szCs w:val="32"/>
                <w:lang w:val="en-US" w:eastAsia="zh-CN"/>
              </w:rPr>
            </w:pPr>
            <w:r>
              <w:rPr>
                <w:rFonts w:hint="eastAsia"/>
                <w:sz w:val="28"/>
                <w:szCs w:val="32"/>
                <w:lang w:val="en-US" w:eastAsia="zh-CN"/>
              </w:rPr>
              <w:t>1</w:t>
            </w:r>
          </w:p>
        </w:tc>
        <w:tc>
          <w:tcPr>
            <w:tcW w:w="803" w:type="pct"/>
            <w:vMerge w:val="continue"/>
            <w:tcBorders/>
            <w:vAlign w:val="center"/>
          </w:tcPr>
          <w:p>
            <w:pPr>
              <w:jc w:val="center"/>
              <w:textAlignment w:val="center"/>
              <w:rPr>
                <w:rFonts w:hint="eastAsia"/>
                <w:sz w:val="28"/>
                <w:szCs w:val="32"/>
                <w:lang w:val="en-US" w:eastAsia="zh-CN"/>
              </w:rPr>
            </w:pPr>
          </w:p>
        </w:tc>
      </w:tr>
    </w:tbl>
    <w:p>
      <w:pPr>
        <w:spacing w:line="360" w:lineRule="auto"/>
        <w:rPr>
          <w:rFonts w:hint="eastAsia" w:cs="Arial"/>
          <w:color w:val="000000"/>
          <w:sz w:val="24"/>
        </w:rPr>
      </w:pPr>
      <w:r>
        <w:rPr>
          <w:rFonts w:hint="eastAsia" w:cs="Arial"/>
          <w:color w:val="000000"/>
          <w:sz w:val="24"/>
        </w:rPr>
        <w:t>三、项目需求及技术参数要求：</w:t>
      </w:r>
    </w:p>
    <w:p>
      <w:pPr>
        <w:spacing w:line="360" w:lineRule="auto"/>
        <w:rPr>
          <w:rFonts w:cs="Arial"/>
          <w:color w:val="000000"/>
          <w:sz w:val="24"/>
        </w:rPr>
      </w:pPr>
      <w:r>
        <w:rPr>
          <w:rFonts w:hint="eastAsia" w:cs="Arial"/>
          <w:color w:val="000000"/>
          <w:sz w:val="24"/>
        </w:rPr>
        <w:t>四、谈判响应方的资格要求：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），具有履行合同的能力</w:t>
      </w:r>
      <w:r>
        <w:rPr>
          <w:rFonts w:hint="eastAsia" w:ascii="宋体" w:hAnsi="宋体"/>
          <w:sz w:val="24"/>
        </w:rPr>
        <w:t>；</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ascii="宋体" w:hAnsi="宋体" w:cs="宋体"/>
          <w:bCs/>
          <w:color w:val="000000"/>
          <w:sz w:val="24"/>
        </w:rPr>
      </w:pPr>
      <w:r>
        <w:rPr>
          <w:rFonts w:hint="eastAsia" w:ascii="宋体" w:hAnsi="宋体" w:cs="宋体"/>
          <w:bCs/>
          <w:color w:val="000000"/>
          <w:sz w:val="24"/>
        </w:rPr>
        <w:t>（4）近三年内（2018年</w:t>
      </w:r>
      <w:r>
        <w:rPr>
          <w:rFonts w:hint="eastAsia" w:ascii="宋体" w:hAnsi="宋体" w:cs="宋体"/>
          <w:bCs/>
          <w:color w:val="000000"/>
          <w:sz w:val="24"/>
          <w:lang w:val="en-US" w:eastAsia="zh-CN"/>
        </w:rPr>
        <w:t>10</w:t>
      </w:r>
      <w:r>
        <w:rPr>
          <w:rFonts w:hint="eastAsia" w:ascii="宋体" w:hAnsi="宋体" w:cs="宋体"/>
          <w:bCs/>
          <w:color w:val="000000"/>
          <w:sz w:val="24"/>
        </w:rPr>
        <w:t>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p>
    <w:p>
      <w:pPr>
        <w:spacing w:beforeLines="40" w:afterLines="40" w:line="360" w:lineRule="auto"/>
        <w:rPr>
          <w:rFonts w:ascii="宋体" w:hAnsi="宋体" w:cs="宋体"/>
          <w:bCs/>
          <w:color w:val="000000"/>
          <w:sz w:val="24"/>
        </w:rPr>
      </w:pPr>
      <w:r>
        <w:rPr>
          <w:rFonts w:hint="eastAsia" w:ascii="宋体" w:hAnsi="宋体" w:cs="宋体"/>
          <w:bCs/>
          <w:color w:val="000000"/>
          <w:sz w:val="24"/>
        </w:rPr>
        <w:t>3.本项目不接受联合体投标；</w:t>
      </w:r>
    </w:p>
    <w:p>
      <w:pPr>
        <w:spacing w:line="360" w:lineRule="auto"/>
        <w:rPr>
          <w:rFonts w:cs="Arial"/>
          <w:color w:val="000000"/>
          <w:sz w:val="24"/>
        </w:rPr>
      </w:pPr>
      <w:r>
        <w:rPr>
          <w:rFonts w:hint="eastAsia" w:ascii="宋体" w:hAnsi="宋体"/>
          <w:sz w:val="24"/>
        </w:rPr>
        <w:t>4.单位负责人为同一人或者存在直接控股、管理关系的谈判响应方，不得参加同一合同下的采购活动。</w:t>
      </w:r>
      <w:r>
        <w:rPr>
          <w:rFonts w:hint="eastAsia" w:cs="Arial"/>
          <w:color w:val="000000"/>
          <w:sz w:val="24"/>
        </w:rPr>
        <w:br w:type="textWrapping"/>
      </w:r>
      <w:r>
        <w:rPr>
          <w:rFonts w:hint="eastAsia" w:cs="Arial"/>
          <w:color w:val="000000"/>
          <w:sz w:val="24"/>
        </w:rPr>
        <w:t>五、报名材料（凡报名参加谈判的单位须携带下述资料复印件一份，每一页资料须加盖单位公章并装订成册办理投标报名手续，制造商的资质及其相关资料须加盖制造商公章，只接受现场报名或顺丰邮寄）：</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5.谈判响应方若为代理商，须提供制造商企业法人营业执照、制造商税务登记证、制造商组织机构代码证（或三证合一）；</w:t>
      </w:r>
      <w:r>
        <w:rPr>
          <w:rFonts w:hint="eastAsia" w:cs="Arial"/>
          <w:color w:val="000000"/>
          <w:sz w:val="24"/>
        </w:rPr>
        <w:br w:type="textWrapping"/>
      </w:r>
      <w:r>
        <w:rPr>
          <w:rFonts w:hint="eastAsia" w:cs="Arial"/>
          <w:color w:val="000000"/>
          <w:sz w:val="24"/>
        </w:rPr>
        <w:t>6.谈判响应方须提供以下截图证明及承诺书原件（见附件3）：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w:t>
      </w:r>
      <w:r>
        <w:rPr>
          <w:rFonts w:hint="eastAsia" w:cs="Arial"/>
          <w:color w:val="000000"/>
          <w:sz w:val="24"/>
          <w:lang w:val="en-US" w:eastAsia="zh-CN"/>
        </w:rPr>
        <w:t>10</w:t>
      </w:r>
      <w:r>
        <w:rPr>
          <w:rFonts w:hint="eastAsia" w:cs="Arial"/>
          <w:color w:val="000000"/>
          <w:sz w:val="24"/>
        </w:rPr>
        <w:t>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六、报名时间及地点：</w:t>
      </w:r>
    </w:p>
    <w:p>
      <w:pPr>
        <w:spacing w:line="360" w:lineRule="auto"/>
        <w:rPr>
          <w:rFonts w:cs="Arial"/>
          <w:color w:val="000000"/>
          <w:sz w:val="24"/>
        </w:rPr>
      </w:pPr>
      <w:r>
        <w:rPr>
          <w:rFonts w:hint="eastAsia" w:cs="Arial"/>
          <w:color w:val="000000"/>
          <w:sz w:val="24"/>
        </w:rPr>
        <w:t>2021年</w:t>
      </w:r>
      <w:r>
        <w:rPr>
          <w:rFonts w:hint="eastAsia" w:cs="Arial"/>
          <w:color w:val="000000"/>
          <w:sz w:val="24"/>
          <w:lang w:val="en-US" w:eastAsia="zh-CN"/>
        </w:rPr>
        <w:t>10</w:t>
      </w:r>
      <w:r>
        <w:rPr>
          <w:rFonts w:hint="eastAsia" w:cs="Arial"/>
          <w:color w:val="000000"/>
          <w:sz w:val="24"/>
        </w:rPr>
        <w:t>月</w:t>
      </w:r>
      <w:r>
        <w:rPr>
          <w:rFonts w:hint="eastAsia" w:cs="Arial"/>
          <w:color w:val="000000"/>
          <w:sz w:val="24"/>
          <w:lang w:val="en-US" w:eastAsia="zh-CN"/>
        </w:rPr>
        <w:t>14</w:t>
      </w:r>
      <w:r>
        <w:rPr>
          <w:rFonts w:hint="eastAsia" w:cs="Arial"/>
          <w:color w:val="000000"/>
          <w:sz w:val="24"/>
        </w:rPr>
        <w:t>日至2021年</w:t>
      </w:r>
      <w:r>
        <w:rPr>
          <w:rFonts w:hint="eastAsia" w:cs="Arial"/>
          <w:color w:val="000000"/>
          <w:sz w:val="24"/>
          <w:lang w:val="en-US" w:eastAsia="zh-CN"/>
        </w:rPr>
        <w:t>10</w:t>
      </w:r>
      <w:r>
        <w:rPr>
          <w:rFonts w:hint="eastAsia" w:cs="Arial"/>
          <w:color w:val="000000"/>
          <w:sz w:val="24"/>
        </w:rPr>
        <w:t>月</w:t>
      </w:r>
      <w:r>
        <w:rPr>
          <w:rFonts w:hint="eastAsia" w:cs="Arial"/>
          <w:color w:val="000000"/>
          <w:sz w:val="24"/>
          <w:lang w:val="en-US" w:eastAsia="zh-CN"/>
        </w:rPr>
        <w:t>20</w:t>
      </w:r>
      <w:r>
        <w:rPr>
          <w:rFonts w:hint="eastAsia" w:cs="Arial"/>
          <w:color w:val="000000"/>
          <w:sz w:val="24"/>
        </w:rPr>
        <w:t>日止，上午8：00-11：30、下午14：00-17：30（双休日及法定节假日除外），皖南医学院第二附属医院3号楼8楼国资科招投标办公室。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rPr>
        <w:t>七、报名联系人：</w:t>
      </w:r>
      <w:r>
        <w:rPr>
          <w:rFonts w:hint="eastAsia" w:cs="Arial"/>
          <w:color w:val="000000"/>
          <w:sz w:val="24"/>
          <w:lang w:val="en-US" w:eastAsia="zh-CN"/>
        </w:rPr>
        <w:t>沈</w:t>
      </w:r>
      <w:r>
        <w:rPr>
          <w:rFonts w:hint="eastAsia" w:cs="Arial"/>
          <w:color w:val="000000"/>
          <w:sz w:val="24"/>
        </w:rPr>
        <w:t>老师，联系电话：0553-2871845。</w:t>
      </w:r>
    </w:p>
    <w:p>
      <w:pPr>
        <w:spacing w:line="360" w:lineRule="auto"/>
        <w:rPr>
          <w:rFonts w:cs="Arial"/>
          <w:color w:val="000000"/>
          <w:sz w:val="24"/>
        </w:rPr>
      </w:pPr>
      <w:r>
        <w:rPr>
          <w:rFonts w:hint="eastAsia" w:cs="Arial"/>
          <w:color w:val="000000"/>
          <w:sz w:val="24"/>
        </w:rPr>
        <w:t>八、谈判时间及地点：报名审核通过后，另行通知。</w:t>
      </w:r>
    </w:p>
    <w:p>
      <w:pPr>
        <w:spacing w:line="360" w:lineRule="auto"/>
        <w:rPr>
          <w:rFonts w:cs="Arial"/>
          <w:color w:val="000000"/>
          <w:sz w:val="24"/>
        </w:rPr>
      </w:pPr>
      <w:r>
        <w:rPr>
          <w:rFonts w:hint="eastAsia" w:cs="Arial"/>
          <w:color w:val="000000"/>
          <w:sz w:val="24"/>
        </w:rPr>
        <w:t>九、谈判文件获取：报名审核通过后，发送电子版谈判文件。</w:t>
      </w:r>
    </w:p>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255BBC"/>
    <w:rsid w:val="00264FD2"/>
    <w:rsid w:val="00323B43"/>
    <w:rsid w:val="003D37D8"/>
    <w:rsid w:val="00426133"/>
    <w:rsid w:val="004358AB"/>
    <w:rsid w:val="005803D2"/>
    <w:rsid w:val="006A50D1"/>
    <w:rsid w:val="008B7726"/>
    <w:rsid w:val="00A32AA5"/>
    <w:rsid w:val="00A4116B"/>
    <w:rsid w:val="00D31D50"/>
    <w:rsid w:val="00ED15D6"/>
    <w:rsid w:val="2F4B09E0"/>
    <w:rsid w:val="45400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qFormat/>
    <w:uiPriority w:val="0"/>
    <w:pPr>
      <w:spacing w:after="120"/>
    </w:pPr>
  </w:style>
  <w:style w:type="paragraph" w:styleId="4">
    <w:name w:val="footer"/>
    <w:basedOn w:val="1"/>
    <w:link w:val="10"/>
    <w:semiHidden/>
    <w:unhideWhenUsed/>
    <w:uiPriority w:val="99"/>
    <w:pPr>
      <w:tabs>
        <w:tab w:val="center" w:pos="4153"/>
        <w:tab w:val="right" w:pos="8306"/>
      </w:tabs>
    </w:pPr>
    <w:rPr>
      <w:sz w:val="18"/>
      <w:szCs w:val="18"/>
    </w:rPr>
  </w:style>
  <w:style w:type="paragraph" w:styleId="5">
    <w:name w:val="header"/>
    <w:basedOn w:val="1"/>
    <w:link w:val="9"/>
    <w:semiHidden/>
    <w:unhideWhenUsed/>
    <w:uiPriority w:val="99"/>
    <w:pPr>
      <w:pBdr>
        <w:bottom w:val="single" w:color="auto" w:sz="6" w:space="1"/>
      </w:pBdr>
      <w:tabs>
        <w:tab w:val="center" w:pos="4153"/>
        <w:tab w:val="right" w:pos="8306"/>
      </w:tabs>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semiHidden/>
    <w:uiPriority w:val="99"/>
    <w:rPr>
      <w:rFonts w:ascii="Tahoma" w:hAnsi="Tahoma"/>
      <w:sz w:val="18"/>
      <w:szCs w:val="18"/>
    </w:rPr>
  </w:style>
  <w:style w:type="character" w:customStyle="1" w:styleId="10">
    <w:name w:val="页脚 Char"/>
    <w:basedOn w:val="8"/>
    <w:link w:val="4"/>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203</Words>
  <Characters>1160</Characters>
  <Lines>9</Lines>
  <Paragraphs>2</Paragraphs>
  <TotalTime>1</TotalTime>
  <ScaleCrop>false</ScaleCrop>
  <LinksUpToDate>false</LinksUpToDate>
  <CharactersWithSpaces>1361</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2021-10-14T06:16:15Z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DBBD3C86FB42473F93EDCD4FFE0CE153</vt:lpwstr>
  </property>
</Properties>
</file>